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numPr>
          <w:ilvl w:val="0"/>
          <w:numId w:val="1"/>
        </w:numPr>
        <w:spacing w:before="0" w:after="280"/>
        <w:ind w:hanging="0" w:start="0"/>
        <w:jc w:val="center"/>
        <w:rPr>
          <w:rFonts w:ascii="Arial" w:hAnsi="Arial"/>
          <w:sz w:val="30"/>
          <w:szCs w:val="30"/>
          <w:lang w:val="en-US"/>
        </w:rPr>
      </w:pPr>
      <w:r>
        <w:drawing>
          <wp:anchor behindDoc="0" distT="0" distB="0" distL="0" distR="0" simplePos="0" locked="0" layoutInCell="0" allowOverlap="1" relativeHeight="2">
            <wp:simplePos x="0" y="0"/>
            <wp:positionH relativeFrom="page">
              <wp:posOffset>4098925</wp:posOffset>
            </wp:positionH>
            <wp:positionV relativeFrom="page">
              <wp:posOffset>8476615</wp:posOffset>
            </wp:positionV>
            <wp:extent cx="2172335" cy="16148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172335" cy="1614805"/>
                    </a:xfrm>
                    <a:prstGeom prst="rect">
                      <a:avLst/>
                    </a:prstGeom>
                  </pic:spPr>
                </pic:pic>
              </a:graphicData>
            </a:graphic>
          </wp:anchor>
        </w:drawing>
      </w:r>
      <w:r>
        <w:rPr>
          <w:rFonts w:ascii="Arial" w:hAnsi="Arial"/>
          <w:sz w:val="30"/>
          <w:szCs w:val="30"/>
          <w:lang w:val="en-US"/>
        </w:rPr>
        <w:t>Legal English – Vocabulary</w:t>
      </w:r>
    </w:p>
    <w:tbl>
      <w:tblPr>
        <w:tblW w:w="7830" w:type="dxa"/>
        <w:jc w:val="center"/>
        <w:tblInd w:w="0" w:type="dxa"/>
        <w:tblLayout w:type="fixed"/>
        <w:tblCellMar>
          <w:top w:w="0" w:type="dxa"/>
          <w:start w:w="7" w:type="dxa"/>
          <w:bottom w:w="0" w:type="dxa"/>
          <w:end w:w="0" w:type="dxa"/>
        </w:tblCellMar>
      </w:tblPr>
      <w:tblGrid>
        <w:gridCol w:w="3120"/>
        <w:gridCol w:w="4709"/>
      </w:tblGrid>
      <w:tr>
        <w:trPr/>
        <w:tc>
          <w:tcPr>
            <w:tcW w:w="3120" w:type="dxa"/>
            <w:tcBorders>
              <w:top w:val="single" w:sz="6" w:space="0" w:color="000000"/>
              <w:start w:val="single" w:sz="6" w:space="0" w:color="000000"/>
              <w:bottom w:val="single" w:sz="6" w:space="0" w:color="000000"/>
            </w:tcBorders>
            <w:shd w:fill="CCCCCC" w:val="clear"/>
            <w:vAlign w:val="center"/>
          </w:tcPr>
          <w:p>
            <w:pPr>
              <w:pStyle w:val="Normal"/>
              <w:spacing w:lineRule="auto" w:line="276" w:before="113" w:after="0"/>
              <w:jc w:val="center"/>
              <w:rPr/>
            </w:pPr>
            <w:r>
              <w:rPr>
                <w:rFonts w:ascii="Arial" w:hAnsi="Arial"/>
                <w:b/>
                <w:sz w:val="24"/>
                <w:szCs w:val="24"/>
                <w:lang w:val="en-US"/>
              </w:rPr>
              <w:t>English</w:t>
            </w:r>
          </w:p>
        </w:tc>
        <w:tc>
          <w:tcPr>
            <w:tcW w:w="4709" w:type="dxa"/>
            <w:tcBorders>
              <w:top w:val="single" w:sz="6" w:space="0" w:color="000000"/>
              <w:start w:val="single" w:sz="6" w:space="0" w:color="000000"/>
              <w:bottom w:val="single" w:sz="6" w:space="0" w:color="000000"/>
              <w:end w:val="single" w:sz="6" w:space="0" w:color="000000"/>
            </w:tcBorders>
            <w:shd w:fill="CCCCCC" w:val="clear"/>
            <w:vAlign w:val="center"/>
          </w:tcPr>
          <w:p>
            <w:pPr>
              <w:pStyle w:val="Normal"/>
              <w:spacing w:lineRule="auto" w:line="276" w:before="113" w:after="0"/>
              <w:jc w:val="center"/>
              <w:rPr/>
            </w:pPr>
            <w:r>
              <w:rPr>
                <w:rFonts w:ascii="Arial" w:hAnsi="Arial"/>
                <w:b/>
                <w:sz w:val="24"/>
                <w:szCs w:val="24"/>
                <w:lang w:val="en-US"/>
              </w:rPr>
              <w:t>Portuguese</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law</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lei</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legal</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legal</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lawyer</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advogado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judge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juiz</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court</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tribunal</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to charge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acusar</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prisoner</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prisioneiro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trial</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julgamento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jury</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júri</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to convict</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condenar</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rFonts w:ascii="Arial" w:hAnsi="Arial"/>
              </w:rPr>
            </w:pPr>
            <w:r>
              <w:rPr>
                <w:rFonts w:ascii="Arial" w:hAnsi="Arial"/>
                <w:sz w:val="24"/>
                <w:szCs w:val="24"/>
                <w:lang w:val="en-US"/>
              </w:rPr>
              <w:t>to plead *</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rFonts w:ascii="Arial" w:hAnsi="Arial"/>
              </w:rPr>
            </w:pPr>
            <w:r>
              <w:rPr>
                <w:rFonts w:ascii="Arial" w:hAnsi="Arial"/>
              </w:rPr>
              <w:t>declarar-se</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rFonts w:ascii="Arial" w:hAnsi="Arial"/>
              </w:rPr>
            </w:pPr>
            <w:r>
              <w:rPr>
                <w:rFonts w:ascii="Arial" w:hAnsi="Arial"/>
                <w:sz w:val="24"/>
                <w:szCs w:val="24"/>
                <w:lang w:val="en-US"/>
              </w:rPr>
              <w:t>plea bargain</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rFonts w:ascii="Arial" w:hAnsi="Arial"/>
              </w:rPr>
            </w:pPr>
            <w:r>
              <w:rPr>
                <w:rFonts w:ascii="Arial" w:hAnsi="Arial"/>
              </w:rPr>
              <w:t>acordo judicial</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evidence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evidência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guilty</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culpado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not guilty / innocent</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inocente</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fine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multa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sentence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sentença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defendant / accused</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réu / acusado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prison / jail</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prisão / cadeia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witness</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testemunha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to testify</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testemunhar</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testimony</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testemunho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to sue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processar</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lawsuit</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ação judicial / processo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verdict</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veredito</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alibi</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álibi</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defense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defesa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defense lawyer</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color w:val="000000"/>
                <w:sz w:val="24"/>
                <w:szCs w:val="24"/>
              </w:rPr>
              <w:t>advogado de defesa</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defense</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color w:val="000000"/>
                <w:sz w:val="24"/>
                <w:szCs w:val="24"/>
              </w:rPr>
              <w:t>acusação (a</w:t>
            </w:r>
            <w:r>
              <w:rPr>
                <w:rFonts w:ascii="Arial" w:hAnsi="Arial"/>
                <w:b w:val="false"/>
                <w:i w:val="false"/>
                <w:caps w:val="false"/>
                <w:smallCaps w:val="false"/>
                <w:color w:val="000000"/>
                <w:spacing w:val="0"/>
                <w:sz w:val="24"/>
                <w:szCs w:val="24"/>
              </w:rPr>
              <w:t>dvogado</w:t>
            </w:r>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do</w:t>
            </w:r>
            <w:r>
              <w:rPr>
                <w:rFonts w:ascii="Arial" w:hAnsi="Arial"/>
                <w:caps w:val="false"/>
                <w:smallCaps w:val="false"/>
                <w:color w:val="000000"/>
                <w:spacing w:val="0"/>
                <w:sz w:val="24"/>
                <w:szCs w:val="24"/>
              </w:rPr>
              <w:t> </w:t>
            </w:r>
            <w:r>
              <w:rPr>
                <w:rFonts w:ascii="Arial" w:hAnsi="Arial"/>
                <w:b w:val="false"/>
                <w:i w:val="false"/>
                <w:caps w:val="false"/>
                <w:smallCaps w:val="false"/>
                <w:color w:val="000000"/>
                <w:spacing w:val="0"/>
                <w:sz w:val="24"/>
                <w:szCs w:val="24"/>
              </w:rPr>
              <w:t>autor do crime)</w:t>
            </w:r>
          </w:p>
        </w:tc>
      </w:tr>
      <w:tr>
        <w:trPr/>
        <w:tc>
          <w:tcPr>
            <w:tcW w:w="3120" w:type="dxa"/>
            <w:tcBorders>
              <w:start w:val="single" w:sz="6" w:space="0" w:color="000000"/>
              <w:bottom w:val="single" w:sz="6" w:space="0" w:color="000000"/>
            </w:tcBorders>
            <w:tcMar>
              <w:start w:w="113" w:type="dxa"/>
            </w:tcMar>
            <w:vAlign w:val="center"/>
          </w:tcPr>
          <w:p>
            <w:pPr>
              <w:pStyle w:val="Normal"/>
              <w:spacing w:lineRule="auto" w:line="276" w:before="28" w:after="28"/>
              <w:rPr/>
            </w:pPr>
            <w:r>
              <w:rPr>
                <w:rFonts w:ascii="Arial" w:hAnsi="Arial"/>
                <w:sz w:val="24"/>
                <w:szCs w:val="24"/>
                <w:lang w:val="en-US"/>
              </w:rPr>
              <w:t>prosecutor</w:t>
            </w:r>
          </w:p>
        </w:tc>
        <w:tc>
          <w:tcPr>
            <w:tcW w:w="4709" w:type="dxa"/>
            <w:tcBorders>
              <w:start w:val="single" w:sz="6" w:space="0" w:color="000000"/>
              <w:bottom w:val="single" w:sz="6" w:space="0" w:color="000000"/>
              <w:end w:val="single" w:sz="6" w:space="0" w:color="000000"/>
            </w:tcBorders>
            <w:tcMar>
              <w:start w:w="113" w:type="dxa"/>
            </w:tcMar>
            <w:vAlign w:val="center"/>
          </w:tcPr>
          <w:p>
            <w:pPr>
              <w:pStyle w:val="Normal"/>
              <w:snapToGrid w:val="false"/>
              <w:spacing w:lineRule="auto" w:line="276" w:before="28" w:after="28"/>
              <w:rPr/>
            </w:pPr>
            <w:r>
              <w:rPr>
                <w:rFonts w:ascii="Arial" w:hAnsi="Arial"/>
                <w:sz w:val="24"/>
                <w:szCs w:val="24"/>
              </w:rPr>
              <w:t>promotor</w:t>
            </w:r>
          </w:p>
        </w:tc>
      </w:tr>
    </w:tbl>
    <w:p>
      <w:pPr>
        <w:pStyle w:val="Heading1"/>
        <w:widowControl/>
        <w:numPr>
          <w:ilvl w:val="0"/>
          <w:numId w:val="0"/>
        </w:numPr>
        <w:suppressAutoHyphens w:val="true"/>
        <w:spacing w:before="0" w:after="280"/>
        <w:ind w:hanging="0" w:start="0"/>
        <w:jc w:val="center"/>
        <w:rPr>
          <w:rFonts w:ascii="Arial" w:hAnsi="Arial"/>
          <w:sz w:val="28"/>
          <w:szCs w:val="28"/>
        </w:rPr>
      </w:pPr>
      <w:r>
        <w:rPr>
          <w:rFonts w:ascii="Arial" w:hAnsi="Arial"/>
          <w:sz w:val="28"/>
          <w:szCs w:val="28"/>
        </w:rPr>
      </w:r>
    </w:p>
    <w:p>
      <w:pPr>
        <w:pStyle w:val="BodyText"/>
        <w:widowControl/>
        <w:numPr>
          <w:ilvl w:val="0"/>
          <w:numId w:val="0"/>
        </w:numPr>
        <w:suppressAutoHyphens w:val="true"/>
        <w:spacing w:lineRule="auto" w:line="240" w:before="0" w:after="0"/>
        <w:ind w:hanging="0" w:start="0"/>
        <w:jc w:val="start"/>
        <w:outlineLvl w:val="0"/>
        <w:rPr>
          <w:rFonts w:ascii="Arial" w:hAnsi="Arial"/>
          <w:lang w:val="en-GB"/>
        </w:rPr>
      </w:pPr>
      <w:r>
        <w:rPr>
          <w:rFonts w:ascii="Arial" w:hAnsi="Arial"/>
          <w:b/>
          <w:bCs/>
          <w:lang w:val="en-GB"/>
        </w:rPr>
        <w:tab/>
        <w:tab/>
        <w:t>Judge</w:t>
      </w:r>
      <w:r>
        <w:rPr>
          <w:rFonts w:ascii="Arial" w:hAnsi="Arial"/>
          <w:lang w:val="en-GB"/>
        </w:rPr>
        <w:t>:</w:t>
        <w:tab/>
        <w:t>“How do you plead?</w:t>
      </w:r>
    </w:p>
    <w:p>
      <w:pPr>
        <w:pStyle w:val="BodyText"/>
        <w:widowControl/>
        <w:numPr>
          <w:ilvl w:val="0"/>
          <w:numId w:val="0"/>
        </w:numPr>
        <w:suppressAutoHyphens w:val="true"/>
        <w:spacing w:lineRule="auto" w:line="240" w:before="0" w:after="0"/>
        <w:ind w:hanging="0" w:start="0"/>
        <w:jc w:val="start"/>
        <w:outlineLvl w:val="0"/>
        <w:rPr>
          <w:rFonts w:ascii="Arial" w:hAnsi="Arial"/>
          <w:lang w:val="en-GB"/>
        </w:rPr>
      </w:pPr>
      <w:r>
        <w:rPr>
          <w:rFonts w:ascii="Arial" w:hAnsi="Arial"/>
          <w:lang w:val="en-GB"/>
        </w:rPr>
        <w:tab/>
        <w:tab/>
        <w:tab/>
        <w:tab/>
        <w:t xml:space="preserve"> Guilty or not guilty?”</w:t>
      </w:r>
    </w:p>
    <w:p>
      <w:pPr>
        <w:pStyle w:val="BodyText"/>
        <w:widowControl/>
        <w:numPr>
          <w:ilvl w:val="0"/>
          <w:numId w:val="0"/>
        </w:numPr>
        <w:suppressAutoHyphens w:val="true"/>
        <w:spacing w:lineRule="auto" w:line="240" w:before="0" w:after="0"/>
        <w:ind w:hanging="0" w:start="0"/>
        <w:jc w:val="start"/>
        <w:outlineLvl w:val="0"/>
        <w:rPr>
          <w:rFonts w:ascii="Arial" w:hAnsi="Arial"/>
          <w:lang w:val="en-GB"/>
        </w:rPr>
      </w:pPr>
      <w:r>
        <w:rPr>
          <w:rFonts w:ascii="Arial" w:hAnsi="Arial"/>
          <w:lang w:val="en-GB"/>
        </w:rPr>
      </w:r>
    </w:p>
    <w:p>
      <w:pPr>
        <w:pStyle w:val="BodyText"/>
        <w:widowControl/>
        <w:numPr>
          <w:ilvl w:val="0"/>
          <w:numId w:val="0"/>
        </w:numPr>
        <w:suppressAutoHyphens w:val="true"/>
        <w:spacing w:lineRule="auto" w:line="240" w:before="0" w:after="0"/>
        <w:ind w:hanging="0" w:start="0"/>
        <w:jc w:val="start"/>
        <w:outlineLvl w:val="0"/>
        <w:rPr>
          <w:rFonts w:ascii="Arial" w:hAnsi="Arial"/>
          <w:lang w:val="en-GB"/>
        </w:rPr>
      </w:pPr>
      <w:r>
        <w:rPr>
          <w:rFonts w:ascii="Arial" w:hAnsi="Arial"/>
          <w:b/>
          <w:bCs/>
          <w:lang w:val="en-GB"/>
        </w:rPr>
        <w:tab/>
        <w:tab/>
        <w:t>Accused</w:t>
      </w:r>
      <w:r>
        <w:rPr>
          <w:rFonts w:ascii="Arial" w:hAnsi="Arial"/>
          <w:lang w:val="en-GB"/>
        </w:rPr>
        <w:t>:</w:t>
        <w:tab/>
        <w:t>“Not guilty, your honour.”</w:t>
      </w:r>
      <w:r>
        <w:br w:type="page"/>
      </w:r>
    </w:p>
    <w:p>
      <w:pPr>
        <w:pStyle w:val="Heading1"/>
        <w:numPr>
          <w:ilvl w:val="0"/>
          <w:numId w:val="1"/>
        </w:numPr>
        <w:spacing w:before="0" w:after="280"/>
        <w:ind w:hanging="0" w:start="0"/>
        <w:jc w:val="center"/>
        <w:rPr>
          <w:rFonts w:ascii="Arial" w:hAnsi="Arial"/>
          <w:sz w:val="28"/>
          <w:szCs w:val="28"/>
        </w:rPr>
      </w:pPr>
      <w:r>
        <w:rPr>
          <w:rFonts w:ascii="Arial" w:hAnsi="Arial"/>
          <w:sz w:val="28"/>
          <w:szCs w:val="28"/>
          <w:lang w:val="en-US"/>
        </w:rPr>
        <w:t>Types of Law</w:t>
      </w:r>
    </w:p>
    <w:tbl>
      <w:tblPr>
        <w:tblW w:w="9736" w:type="dxa"/>
        <w:jc w:val="center"/>
        <w:tblInd w:w="0" w:type="dxa"/>
        <w:tblLayout w:type="fixed"/>
        <w:tblCellMar>
          <w:top w:w="0" w:type="dxa"/>
          <w:start w:w="7" w:type="dxa"/>
          <w:bottom w:w="0" w:type="dxa"/>
          <w:end w:w="0" w:type="dxa"/>
        </w:tblCellMar>
      </w:tblPr>
      <w:tblGrid>
        <w:gridCol w:w="2265"/>
        <w:gridCol w:w="7470"/>
      </w:tblGrid>
      <w:tr>
        <w:trPr/>
        <w:tc>
          <w:tcPr>
            <w:tcW w:w="2265" w:type="dxa"/>
            <w:tcBorders>
              <w:top w:val="single" w:sz="6" w:space="0" w:color="000000"/>
              <w:start w:val="single" w:sz="6" w:space="0" w:color="000000"/>
              <w:bottom w:val="single" w:sz="6" w:space="0" w:color="000000"/>
            </w:tcBorders>
            <w:shd w:fill="CCCCCC" w:val="clear"/>
            <w:vAlign w:val="center"/>
          </w:tcPr>
          <w:p>
            <w:pPr>
              <w:pStyle w:val="Normal"/>
              <w:spacing w:before="57" w:after="57"/>
              <w:jc w:val="center"/>
              <w:rPr/>
            </w:pPr>
            <w:r>
              <w:rPr>
                <w:rFonts w:ascii="Arial" w:hAnsi="Arial"/>
                <w:b/>
                <w:color w:val="000000"/>
                <w:sz w:val="24"/>
                <w:szCs w:val="24"/>
                <w:lang w:val="en-GB"/>
              </w:rPr>
              <w:t>Type of Law</w:t>
            </w:r>
          </w:p>
        </w:tc>
        <w:tc>
          <w:tcPr>
            <w:tcW w:w="7470" w:type="dxa"/>
            <w:tcBorders>
              <w:top w:val="single" w:sz="6" w:space="0" w:color="000000"/>
              <w:start w:val="single" w:sz="6" w:space="0" w:color="000000"/>
              <w:bottom w:val="single" w:sz="6" w:space="0" w:color="000000"/>
              <w:end w:val="single" w:sz="6" w:space="0" w:color="000000"/>
            </w:tcBorders>
            <w:shd w:fill="CCCCCC" w:val="clear"/>
            <w:vAlign w:val="center"/>
          </w:tcPr>
          <w:p>
            <w:pPr>
              <w:pStyle w:val="Normal"/>
              <w:spacing w:before="57" w:after="57"/>
              <w:jc w:val="center"/>
              <w:rPr/>
            </w:pPr>
            <w:r>
              <w:rPr>
                <w:rFonts w:ascii="Arial" w:hAnsi="Arial"/>
                <w:b/>
                <w:color w:val="000000"/>
                <w:sz w:val="24"/>
                <w:szCs w:val="24"/>
                <w:lang w:val="en-GB"/>
              </w:rPr>
              <w:t>Explanation</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Civil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color w:val="000000"/>
                <w:sz w:val="24"/>
                <w:szCs w:val="24"/>
                <w:lang w:val="en-GB"/>
              </w:rPr>
              <w:t>A legal system that serves as the primary source of law.</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Criminal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This relates to behaviour that is perceived as threatening, harmful or endangering to property, health, safety or welfare of people.</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Labour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caps w:val="false"/>
                <w:smallCaps w:val="false"/>
                <w:color w:val="000000"/>
                <w:spacing w:val="0"/>
                <w:sz w:val="24"/>
                <w:szCs w:val="24"/>
                <w:lang w:val="en-GB"/>
              </w:rPr>
              <w:t xml:space="preserve">This </w:t>
            </w:r>
            <w:r>
              <w:rPr>
                <w:rFonts w:ascii="Arial" w:hAnsi="Arial"/>
                <w:b w:val="false"/>
                <w:i w:val="false"/>
                <w:caps w:val="false"/>
                <w:smallCaps w:val="false"/>
                <w:color w:val="000000"/>
                <w:spacing w:val="0"/>
                <w:sz w:val="24"/>
                <w:szCs w:val="24"/>
                <w:lang w:val="en-GB"/>
              </w:rPr>
              <w:t>mediates the relationship between workers, employers, trade unions and the government.</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Corporate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color w:val="000000"/>
                <w:sz w:val="24"/>
                <w:szCs w:val="24"/>
                <w:lang w:val="en-GB"/>
              </w:rPr>
              <w:t>This law</w:t>
            </w:r>
            <w:r>
              <w:rPr>
                <w:rFonts w:ascii="Arial" w:hAnsi="Arial"/>
                <w:b w:val="false"/>
                <w:i w:val="false"/>
                <w:caps w:val="false"/>
                <w:smallCaps w:val="false"/>
                <w:color w:val="000000"/>
                <w:spacing w:val="0"/>
                <w:sz w:val="24"/>
                <w:szCs w:val="24"/>
                <w:lang w:val="en-GB"/>
              </w:rPr>
              <w:t xml:space="preserve"> governs the rights, relations and conduct of persons, companies, organizations and businesses.</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Contract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A contract is an agreement that specifies certain legally enforceable rights and obligations pertaining to two or more parties. A contract typically involves consent to transfer of goods, services, money or promise to transfer any of those at a future date.</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Constitutional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 xml:space="preserve">This </w:t>
            </w:r>
            <w:r>
              <w:rPr>
                <w:rFonts w:ascii="Arial" w:hAnsi="Arial"/>
                <w:b w:val="false"/>
                <w:i w:val="false"/>
                <w:caps w:val="false"/>
                <w:smallCaps w:val="false"/>
                <w:color w:val="000000"/>
                <w:spacing w:val="0"/>
                <w:sz w:val="24"/>
                <w:szCs w:val="24"/>
                <w:lang w:val="en-GB"/>
              </w:rPr>
              <w:t>law</w:t>
            </w:r>
            <w:r>
              <w:rPr>
                <w:rFonts w:ascii="Arial" w:hAnsi="Arial"/>
                <w:b w:val="false"/>
                <w:i w:val="false"/>
                <w:caps w:val="false"/>
                <w:smallCaps w:val="false"/>
                <w:color w:val="000000"/>
                <w:spacing w:val="0"/>
                <w:sz w:val="24"/>
                <w:szCs w:val="24"/>
                <w:lang w:val="en-GB"/>
              </w:rPr>
              <w:t xml:space="preserve"> defines the role, powers, and structure of different entities within a state, namely, the executive, the parliament or legislature, and the judiciary; as well as the basic rights of citizens and the relationship between the central government and state, provincial, or territorial governments.</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Administrative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This law governs the activities of the executive branches of government. It includes executive branch rule making, adjudication, and the enforcement of laws.</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Tort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A tort is a civil wrong that causes a claimant to suffer loss or harm, resulting in legal liability for the person who commits the act.</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Trust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color w:val="000000"/>
                <w:sz w:val="24"/>
                <w:szCs w:val="24"/>
                <w:lang w:val="en-GB"/>
              </w:rPr>
              <w:t>A trust is a legal relationship in which the owner of property gives it to another person, who must manage and use the property solely for the benefit of another person. The party to whom it is entrusted is called the "trustee", the party for whose benefit the property is entrusted is known as the "beneficiary".</w:t>
            </w:r>
          </w:p>
        </w:tc>
      </w:tr>
      <w:tr>
        <w:trPr/>
        <w:tc>
          <w:tcPr>
            <w:tcW w:w="2265" w:type="dxa"/>
            <w:tcBorders>
              <w:start w:val="single" w:sz="6" w:space="0" w:color="000000"/>
              <w:bottom w:val="single" w:sz="6" w:space="0" w:color="000000"/>
            </w:tcBorders>
            <w:tcMar>
              <w:start w:w="113" w:type="dxa"/>
              <w:end w:w="113" w:type="dxa"/>
            </w:tcMar>
            <w:vAlign w:val="center"/>
          </w:tcPr>
          <w:p>
            <w:pPr>
              <w:pStyle w:val="Normal"/>
              <w:spacing w:before="57" w:after="57"/>
              <w:rPr/>
            </w:pPr>
            <w:r>
              <w:rPr>
                <w:rFonts w:ascii="Arial" w:hAnsi="Arial"/>
                <w:color w:val="000000"/>
                <w:sz w:val="24"/>
                <w:szCs w:val="24"/>
                <w:lang w:val="en-GB"/>
              </w:rPr>
              <w:t>International law</w:t>
            </w:r>
          </w:p>
        </w:tc>
        <w:tc>
          <w:tcPr>
            <w:tcW w:w="7470" w:type="dxa"/>
            <w:tcBorders>
              <w:start w:val="single" w:sz="6" w:space="0" w:color="000000"/>
              <w:bottom w:val="single" w:sz="6" w:space="0" w:color="000000"/>
              <w:end w:val="single" w:sz="6" w:space="0" w:color="000000"/>
            </w:tcBorders>
            <w:tcMar>
              <w:start w:w="113" w:type="dxa"/>
              <w:end w:w="113" w:type="dxa"/>
            </w:tcMar>
            <w:vAlign w:val="center"/>
          </w:tcPr>
          <w:p>
            <w:pPr>
              <w:pStyle w:val="Normal"/>
              <w:snapToGrid w:val="false"/>
              <w:spacing w:before="57" w:after="57"/>
              <w:rPr/>
            </w:pPr>
            <w:r>
              <w:rPr>
                <w:rFonts w:ascii="Arial" w:hAnsi="Arial"/>
                <w:b w:val="false"/>
                <w:i w:val="false"/>
                <w:caps w:val="false"/>
                <w:smallCaps w:val="false"/>
                <w:color w:val="000000"/>
                <w:spacing w:val="0"/>
                <w:sz w:val="24"/>
                <w:szCs w:val="24"/>
                <w:lang w:val="en-GB"/>
              </w:rPr>
              <w:t>This law is the set of rules, norms, and standards that states and countries must obey in their mutual relations.</w:t>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lang w:val="en-GB"/>
        </w:rPr>
      </w:pPr>
      <w:r>
        <w:rPr>
          <w:rFonts w:ascii="Arial" w:hAnsi="Arial"/>
          <w:sz w:val="24"/>
          <w:szCs w:val="24"/>
          <w:u w:val="single"/>
          <w:lang w:val="en-GB"/>
        </w:rPr>
        <w:t>Note</w:t>
      </w:r>
      <w:r>
        <w:rPr>
          <w:rFonts w:ascii="Arial" w:hAnsi="Arial"/>
          <w:sz w:val="24"/>
          <w:szCs w:val="24"/>
          <w:lang w:val="en-GB"/>
        </w:rPr>
        <w:t>: The word “persons” is a legal word. The word “people” is used in all other contexts.</w:t>
      </w:r>
    </w:p>
    <w:sectPr>
      <w:type w:val="nextPage"/>
      <w:pgSz w:w="11906" w:h="16838"/>
      <w:pgMar w:left="720" w:right="720" w:gutter="0" w:header="0" w:top="550" w:footer="0" w:bottom="5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swiss"/>
    <w:pitch w:val="default"/>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pt-BR" w:eastAsia="zh-CN" w:bidi="ar-SA"/>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Fontepargpadro1">
    <w:name w:val="Fonte parág. padrão1"/>
    <w:qFormat/>
    <w:rPr/>
  </w:style>
  <w:style w:type="character" w:styleId="clozewordlist">
    <w:name w:val="clozewordlist"/>
    <w:basedOn w:val="Fontepargpadro1"/>
    <w:qFormat/>
    <w:rPr/>
  </w:style>
  <w:style w:type="character" w:styleId="Strong">
    <w:name w:val="Strong"/>
    <w:qFormat/>
    <w:rPr>
      <w:b/>
      <w:bCs/>
    </w:rPr>
  </w:style>
  <w:style w:type="character" w:styleId="gapspan">
    <w:name w:val="gapspan"/>
    <w:basedOn w:val="Fontepargpadro1"/>
    <w:qFormat/>
    <w:rPr/>
  </w:style>
  <w:style w:type="character" w:styleId="Hyperlink">
    <w:name w:val="Hyperlink"/>
    <w:rPr>
      <w:color w:val="0563C1"/>
      <w:u w:val="single"/>
    </w:rPr>
  </w:style>
  <w:style w:type="character" w:styleId="FollowedHyperlink">
    <w:name w:val="FollowedHyperlink"/>
    <w:rPr>
      <w:color w:val="954F72"/>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
    <w:name w:val="Título"/>
    <w:basedOn w:val="Normal"/>
    <w:next w:val="BodyText"/>
    <w:qFormat/>
    <w:pPr>
      <w:keepNext w:val="true"/>
      <w:spacing w:before="240" w:after="120"/>
    </w:pPr>
    <w:rPr>
      <w:rFonts w:ascii="Arial" w:hAnsi="Arial" w:eastAsia="Microsoft YaHei" w:cs="Arial Unicode MS"/>
      <w:sz w:val="28"/>
      <w:szCs w:val="28"/>
    </w:rPr>
  </w:style>
  <w:style w:type="paragraph" w:styleId="Legenda">
    <w:name w:val="Legenda"/>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Mangal"/>
    </w:rPr>
  </w:style>
  <w:style w:type="paragraph" w:styleId="Ttulo1">
    <w:name w:val="Título1"/>
    <w:basedOn w:val="Normal"/>
    <w:next w:val="BodyText"/>
    <w:qFormat/>
    <w:pPr>
      <w:keepNext w:val="true"/>
      <w:spacing w:before="240" w:after="120"/>
    </w:pPr>
    <w:rPr>
      <w:rFonts w:ascii="Arial" w:hAnsi="Arial" w:eastAsia="Microsoft YaHei" w:cs="Mangal"/>
      <w:sz w:val="28"/>
      <w:szCs w:val="28"/>
    </w:rPr>
  </w:style>
  <w:style w:type="paragraph" w:styleId="Legenda1">
    <w:name w:val="Legenda1"/>
    <w:basedOn w:val="Normal"/>
    <w:qFormat/>
    <w:pPr>
      <w:suppressLineNumbers/>
      <w:spacing w:before="120" w:after="120"/>
    </w:pPr>
    <w:rPr>
      <w:rFonts w:cs="Mangal"/>
      <w:i/>
      <w:iCs/>
      <w:sz w:val="24"/>
      <w:szCs w:val="24"/>
    </w:rPr>
  </w:style>
  <w:style w:type="paragraph" w:styleId="Partesuperior-zdoformulrio">
    <w:name w:val="Parte superior-z do formulário"/>
    <w:basedOn w:val="Normal"/>
    <w:next w:val="Normal"/>
    <w:qFormat/>
    <w:pPr>
      <w:pBdr>
        <w:bottom w:val="single" w:sz="4" w:space="1" w:color="000000"/>
      </w:pBdr>
      <w:jc w:val="center"/>
    </w:pPr>
    <w:rPr>
      <w:rFonts w:ascii="Arial" w:hAnsi="Arial" w:cs="Arial"/>
      <w:vanish/>
      <w:sz w:val="16"/>
      <w:szCs w:val="16"/>
    </w:rPr>
  </w:style>
  <w:style w:type="paragraph" w:styleId="Parteinferiordoformulrio">
    <w:name w:val="Parte inferior do formulário"/>
    <w:basedOn w:val="Normal"/>
    <w:next w:val="Normal"/>
    <w:qFormat/>
    <w:pPr>
      <w:pBdr>
        <w:top w:val="single" w:sz="4" w:space="1" w:color="000000"/>
      </w:pBdr>
      <w:jc w:val="center"/>
    </w:pPr>
    <w:rPr>
      <w:rFonts w:ascii="Arial" w:hAnsi="Arial" w:cs="Arial"/>
      <w:vanish/>
      <w:sz w:val="16"/>
      <w:szCs w:val="16"/>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100</TotalTime>
  <Application>LibreOffice/24.2.5.2$Linux_X86_64 LibreOffice_project/420$Build-2</Application>
  <AppVersion>15.0000</AppVersion>
  <Pages>2</Pages>
  <Words>421</Words>
  <Characters>2256</Characters>
  <CharactersWithSpaces>2597</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2008-04-23T08:43:00Z</dcterms:created>
  <dc:creator>user</dc:creator>
  <dc:description/>
  <dc:language>en-GB</dc:language>
  <cp:lastModifiedBy/>
  <cp:lastPrinted>2016-08-17T18:42:00Z</cp:lastPrinted>
  <dcterms:modified xsi:type="dcterms:W3CDTF">2024-08-19T18:15:41Z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